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21 209 vom 17. April 2023</w:t>
      </w:r>
    </w:p>
    <w:p>
      <w:r>
        <w:t>VS Kantonsgericht, 2023-04-17, FR</w:t>
      </w:r>
    </w:p>
    <w:p>
      <w:r>
        <w:rPr>
          <w:b/>
        </w:rPr>
        <w:t xml:space="preserve">Quelle: </w:t>
      </w:r>
      <w:r>
        <w:t>https://mcp.opencaselaw.ch/entscheid/vs_gerichte_S1 21 209</w:t>
      </w:r>
    </w:p>
    <w:p>
      <w:r>
        <w:t>FR: VS_GERICHTE S1 21 209 du 17 avril 2023</w:t>
      </w:r>
    </w:p>
    <w:p>
      <w:r>
        <w:t>IT: VS_GERICHTE S1 21 209 del 17 aprile 2023</w:t>
      </w:r>
    </w:p>
    <w:p>
      <w:pPr>
        <w:pStyle w:val="Heading2"/>
      </w:pPr>
      <w:r>
        <w:t>Regeste</w:t>
      </w:r>
    </w:p>
    <w:p>
      <w:r>
        <w:t>S1 21 209 JUGEMENT DU 17 AVRIL 2023 Tribunal cantonal du Valais Cour des assurances sociales Composition : Candido Prada, président ; Jean-Bernard Fournier et Christophe Joris, juges ; Simon Hausammann, greffier en la cause X _________, recourante, représentée par Maître Luc del Rizzo, avocat, 1870 Monthey 2 contre OFFICE CANTONAL AI DU VALAIS, 1950 Sion, intimé (art. 16 LPGA, 28 aLAI et 27bis aRAI ; valeur probante d’une expertise et d’une enquête ménagère, méthode mixte d’évaluation du taux d’invalidité)</w:t>
      </w:r>
    </w:p>
    <w:p>
      <w:pPr>
        <w:pStyle w:val="Heading2"/>
      </w:pPr>
      <w:r>
        <w:t>Erwägungen</w:t>
      </w:r>
    </w:p>
    <w:p>
      <w:r>
        <w:rPr>
          <w:b/>
        </w:rPr>
        <w:t>E. 2</w:t>
      </w:r>
    </w:p>
    <w:p>
      <w:r>
        <w:t>Le litige porte sur le refus de l’OAI d’octroyer une rente d’invalidité et des mesures d’ordre professionnel à la recourante. En premier lieu, cette dernière conteste la capacité de travail qui lui a été reconnue dans une activité adaptée.</w:t>
      </w:r>
    </w:p>
    <w:p>
      <w:r>
        <w:rPr>
          <w:b/>
        </w:rPr>
        <w:t>E. 2.1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t>- 9 -</w:t>
      </w:r>
    </w:p>
    <w:p>
      <w:r>
        <w:rPr>
          <w:b/>
        </w:rPr>
        <w:t>E. 2.2</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w:t>
      </w:r>
    </w:p>
    <w:p>
      <w:r>
        <w:t>- 10 - une expertise, lorsque celui-ci ne lui convient pas. Cette possibilité n’est pas non plus ouverte à la personne assurée. La nécessité d’administrer une nouvelle expertise dépend du point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8C_841/2016 du 30 novembre 2017 consid. 4.5.2 et 9C_815/2012 du 12 décembre 2012 consid. 3). En général, toutes les affections psychiques doivent faire l’objet d’une</w:t>
      </w:r>
    </w:p>
    <w:p>
      <w:r>
        <w:t>- 11 -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2.5</w:t>
      </w:r>
    </w:p>
    <w:p>
      <w:r>
        <w:t>Dans le cas d’espèce, il s’agit de déterminer si les troubles psychiques et somatiques allégués par la recourante auraient dû conduire l’OAI à lui reconnaître une incapacité de travail totale dans toute activité afin de lui ouvrir le droit à des prestations AI.</w:t>
      </w:r>
    </w:p>
    <w:p>
      <w:r>
        <w:rPr>
          <w:b/>
        </w:rPr>
        <w:t>E. 2.5.1</w:t>
      </w:r>
    </w:p>
    <w:p>
      <w:r>
        <w:t>La recourante remet en cause la valeur probante des expertises des 3 et 15 décembre 2020 et soutient que l’OAI aurait dû lui reconnaître une incapacité de travail totale telle qu’attestée par son médecin traitant. Ses critiques ne sont cependant pas fondées et il n’existe aucune raison de s’écarter des expertises motivées des Drs C _________ et D _________ qui ne contiennent ni contradictions manifestes ni lacunes sur des éléments essentiels. En particulier, l’on note qu’ils ont repris en détail l’ensemble des avis médicaux, décrit avec précision l’anamnèse de la recourante, lui ont donné l’occasion d’exprimer ses plaintes, puis ont procédé à des examens cliniques complets. Les experts ont également fait une évaluation consensuelle interdisciplinaire afin d’examiner l’impact respectif des diagnostics et pour arrêter une conclusion commune quant à la capacité de travail résiduelle de la recourante. Cette manière de faire n’appelle aucune critique et bénéfice d’une pleine valeur probante. Contrairement à ce que semble croire la recourante, il revenait aux experts de déterminer si les douleurs alléguées trouvaient une explication objective et non de s’arrêter à ses seules déclarations subjectives. Or, si le Dr D _________ a effectivement</w:t>
      </w:r>
    </w:p>
    <w:p>
      <w:r>
        <w:t>- 12 - observé que la recourante présentait beaucoup de plaintes douloureuses, il a en revanche conclu qu’elles ne trouvaient aucune explication somatique objective et que seules des atteintes modérées et secondaires à des lésions dégénératives existaient. Cet expert a ensuite souligné que la recourante avait un comportement particulièrement démonstratif et a conclu que le niveau douloureux allégué était peu vraisemblable et qu’il était dicté par le contexte social. Le Dr D _________ a dès lors procédé à un examen clinique approfondi puis a motivé d’une manière circonstanciée ses conclusions, démontrant les raisons pour lesquelles il ne se justifiait pas de retenir une incapacité totale de travail telle que souhaitée par l’intéressée. L’on ne voit ainsi pas quelle autre analyse il aurait dû entreprendre et la recourante ne démontre du reste pas en quoi un examen supplémentaire aurait été nécessaire ni quelle forme il aurait dû prendre. Par ailleurs, les incohérences observées sur le plan rhumatologique ont pu être expliquées par l’impact du TSD, justifiant une incapacité de travail de 50% sur le plan psychiatrique. Il n’existe aucune raison de mettre en doute les conclusions du Dr C _________, lesquelles ont été confirmées par un avis médical interne du SMR. Cet expert a en outre soumis les troubles qu’il a retenus (trouble panique et TSD) à la procédure probatoire structurée développée par la jurisprudence (ATF 143 V 409 consid. 4.5.2 et 141 V 281 consid. 2.2 et 3.2), lui permettant de constater que des ressources suffisantes ont pu être conservées par la recourante pour maintenir un taux d’activité de 50%. Au demeurant, les experts ont indiqué qu’une adaptation de la prise en charge psychiatrique permettrait d’améliorer le pronostic et d’atteindre une capacité de travail entière dans une activité adaptée (p. 54 de l’expertise ; pièce OAI 51). Cela étant, la capacité de travail de 50% retenue sur le plan psychiatrique n’était en revanche aucunement conditionnée à une amélioration des troubles psychiques comme le prétend à tort la recourante. Du reste, comme expliqué par le Dr C _________ le 14 avril 2021, le taux d’incapacité de travail se justifiait non seulement par l’instabilité du trouble anxieux mais également par les symptômes du TSD (cf. pièce OAI 61). Dans son avis médical interne, le Dr F _________ a confirmé cela (cf. avis médical interne du 21 mai 2021 ; pièce OAI 65). L’analyse opérée par les experts et le SMR s’est, dans ces conditions, fondée sur l’ensemble des atteintes de la recourante, y compris le TSD, de sorte qu’ordonner une expertise complémentaire apparaissait comme superflu lors de la procédure administrative. A présent, il est également inutile d’ordonner une autre mesure d’instruction, le dossier étant suffisamment complet pour qu’un jugement valable puisse être rendu sur la base de celui-ci (appréciation anticipée des moyens de preuve : ATF 145 I 167 consid. 4.1, 144 II 427 consid. 3.1.3 et 141 I 60 consid. 3.3).</w:t>
      </w:r>
    </w:p>
    <w:p>
      <w:r>
        <w:t>- 13 -</w:t>
      </w:r>
    </w:p>
    <w:p>
      <w:r>
        <w:rPr>
          <w:b/>
        </w:rPr>
        <w:t>E. 2.5.2</w:t>
      </w:r>
    </w:p>
    <w:p>
      <w:r>
        <w:t>L’avis du Dr B _________ ne permet pas d’aboutir à une solution différente. Ce médecin traitant ne justifie en effet pas les raisons qui permettraient de retenir une incapacité totale de travail dans toute activité et semble se baser uniquement sur les plaintes subjectives de sa patiente. Depuis le début de son suivi en octobre 2017, son traitement était en outre limité à la prescription d’antalgiques (Dafalgan) et il n’a pas jugé utile d’adresser sa patiente à un psychiatre malgré le diagnostic d’état anxio-dépressif qu’il a retenu (cf. rapport du 11 mars 2020 ; pièce OAI 40). Il ne ressort également pas du dossier qu’un traitement de physiothérapie ait été instauré. Dans ces conditions, les lésions dégénératives mises en évidence par les examens qu’il a requis n’atteignent manifestement pas un degré de gravité justifiant une pleine incapacité de travail de sa patiente dans toute activité, y compris dans une activité adaptée ne mettant pas à contribution ses genoux et son dos. Au stade du recours, l’intéressée a produit de nouvelles pièces médicales. Le courrier du 1er février 2022 de la Dresse H _________, généraliste, énumérant ses atteintes (pièce 11 de la recourante), ne donne cependant aucune indication quant à une capacité de travail limitée dans une activité adaptée. Cette médecin traitant ne l’allègue du reste pas. Au demeurant, après avoir examiné ce document, le SMR a justement indiqué que l’arthrose du genou bilatéral avec syndrome douloureux chronique des genoux et des hanches était déjà pris en compte par les limitations fonctionnelles. Quant au rapport du Dr G _________ (pièce 12 de la recourante), il fait simplement mention de l’instauration d’un suivi psychiatrique mensuel afin de traiter les troubles psychiques de l’intéressée sans autre description, en plus de mentionner des facteurs étrangers à la notion d’invalidité. Ce suivi ne justifie aucunement une incapacité de travail supplémentaire à celle attestée par les experts et fait d’ailleurs suite à leur recommandation pour la récupération d’une pleine capacité de travail (cf. notamment l’avis médical interne du 21 mai 2021 du Dr F _________, psychiatre auprès du SMR). Sur le plan de la cohérence, on relèvera aussi que la recourante se plaint de douleurs mais ne prend que des Dafalgan comme traitement. S’agissant du suivi du psychiatre traitant, se pose également la question de la pratique de la langue utilisée en thérapie, l’intéressée ne maîtrisant pas le français et cela notamment face au diagnostic de trouble panique comme relevé par le Dr F _________.</w:t>
      </w:r>
    </w:p>
    <w:p>
      <w:r>
        <w:rPr>
          <w:b/>
        </w:rPr>
        <w:t>E. 2.5.3</w:t>
      </w:r>
    </w:p>
    <w:p>
      <w:r>
        <w:t>Au vu des considérations qui précèdent, il n’existe aucun motif susceptible de remettre en doute la valeur probante de l’expertise bi-disciplinaire des Drs C _________ et D _________, ainsi que celle de l’avis du SMR. Une capacité de travail de 50% dans une activité adaptée doit dès lors être reconnue à la recourante depuis l’été 2018.</w:t>
      </w:r>
    </w:p>
    <w:p>
      <w:r>
        <w:t>- 14 - 3. Dans un second grief, la recourante conteste le taux d’invalidité retenu par l’intimé. 3.1. L'assuré a droit à une rente s'il a présenté une incapacité de travail (art. 6 LPGA) d’au moins 40% en moyenne durant une année sans interruption notable et, qu’au terme de cette année, il est invalide à 40% au moins (art. 28 al. 1 let. b et c LAI). L'atteinte moyenne à la capacité de travail pendant une année et l'incapacité de gain existant à l'expiration du délai d'attente doivent être cumulatives et atteindre le niveau minimal requis pour les différents échelons de rente afin qu'une rente d'un montant correspondant puisse être octroyée (art. 28 LAI dans sa teneur jusqu’au 31 décembre 2021 ; arrêts 8C_618/2021 du 14 décembre 2021 consid. 4.2, 8C_718/2018 du 1er janvier 2018 consid. 2.2, 9C_942/2015 du 18 février 2016 consid. 3.1, 8C_174/2013 du 21 octobre 2013 consid. 3.2 et 9C_996/2010 du 5 mai 2011 consid. 7.1).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 ce sont les conséquences économiques objectives de l'incapacité fonctionnelle qu'il importe d'évaluer (ATF 110 V 275 consid. 4a). 3.2.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La comparaison des revenus s'effectue, en règle générale, en chiffrant aussi exactement que possible les montants de ces deux revenus et en les confrontant l'un avec l'autre, la différence permettant de calculer le taux d'invalidité (ATF 137 V 334 consid. 3.3.1). En outre, cette comparaison des revenus doit s’effectuer au moment de l’ouverture du droit à une éventuelle rente et non lors de la décision litigieuse (ATF 128 V 174 consid. 4a). 3.2.1.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w:t>
      </w:r>
    </w:p>
    <w:p>
      <w:r>
        <w:t>- 15 -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8C_733/2013 du 5 septembre 2014 consid. 5 et la référence). 3.2.2. Pour déterminer le revenu d'invalide de l'assuré, il y a lieu en l'absence d'un revenu effectivement réalisé de se référer aux données salariales telles qu'elles résultent de l’Enquête suisse sur la structure des salaires publiée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Seul l'abus ou l'excès du pouvoir d'appréciation peut être revu par le Tribunal de céans (art. 47 al. 2 LPJA). Il y a notamment excès négatif de celui-ci lorsque l'autorité renonce à faire usage de son pouvoir d'appréciation (ATF 116 V 307 consid. 2). 3.2.3. Le Tribunal fédéral a considéré, pour des raisons liées au respect du principe constitutionnel de l'égalité de traitement, qu'il n'y avait pas lieu de tenir compte de données salariales régionales, et à plus forte raison cantonales (arrêts 9C_535/2019 du 31 octobre 2019 consid. 4 ; 8C_744/2011 du 25 avril 2012 consid. 5.2 et les références, in SVR 2012 UV n° 26 p. 93 ; voir également arrêts I 820/06 du 4 septembre 2007 consid. 3.3 et U 75/03 du 12 octobre 2006 consid. 8, in SVR 2007 UV n° 17 p. 56).</w:t>
      </w:r>
    </w:p>
    <w:p>
      <w:r>
        <w:t>- 16 - Finalement,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 caractère irréaliste des possibilités de travail doit découler de l'atteinte à la santé - puisqu'une telle atteinte est indispensable à la reconnaissance de l'invalidité (art. 7 et 8 LPGA) - et non de facteurs psychosociaux ou socioculturels qui sont étrangers à la définition juridique de l'invalidité. Les facteurs personnels, tels que le statut d’étranger, les problèmes de langue, l’âge ou les problèmes sur le marché du travail (récession) ne sont ainsi pas pris en considération (arrêt 9C_286/2015 du 12 janvier 2016 consid. 4.2 et les références). 3.3. Aux termes de l'article 28a alinéa 3 LAI, lorsque l’assuré exerce une activité lucrative à temps partiel, l’invalidité relative à cette part est évaluée, en principe, selon la méthode ordinaire de comparaison des revenus. S'il se consacre en outre à ses travaux habituels, l'invalidité est fixée selon la méthode spécifique pour cette activité. Dans cette hypothèse,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(ATF 137 V 334 consid. 3.1 ; arrêt I 288/06 du 20 avril 2007 consid. 3.2.5). 3.3.1. Depuis le 1er janvier 2018, les principes applicables à la détermination du degré d’invalidité, dans le cadre de la méthode mixte, ont été précisés par l’article 27bis alinéas 2 à 4 aRAI (en vigueur jusqu’au 31 décembre 2021). Pour évaluer le taux d’invalidité d’une personne exerçant une activité lucrative à temps partiel et accomplissant des travaux habituels, il convient ainsi d’additionner le taux d’invalidité en lien avec l’activité lucrative et le taux d’invalidité en lien avec les travaux habituels (art. 27bis al. 2 aRAI). Conformément à l’article 27bis alinéa 3 aRAI (en vigueur jusqu’au 31 décembre 2021), le calcul du taux d’invalidité en lien avec l’activité lucrative est régi par l’article 16 LPGA. Le revenu sans invalidité, c’est-à-dire celui que l’assuré aurait pu obtenir de l’activité lucrative exercée à temps partiel, s’il n’était pas invalide, n’est pas déterminé sur la base du revenu correspondant au taux d’occupation de l’assuré (comme c’était le cas par le passé ; ATF 137 V 334 consid. 4.1), mais il est extrapolé pour la même activité lucrative exercé à plein temps (let. a). Ce revenu est alors comparé au revenu d’invalide, c’est-à-dire celui que l’assuré est ou serait à même de réaliser. La perte de gain exprimée en pourcentage qui résulte de cette comparaison</w:t>
      </w:r>
    </w:p>
    <w:p>
      <w:r>
        <w:t>- 17 - est ensuite pondérée au moyen du taux d’occupation qui serait celui de l’assuré s’il n’était pas invalide (let. b) (VALTERIO, Commentaire de la loi fédérale sur l’assurance-invalidité (LAI), 2018, n° 128 ad art. 28a).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l’alinéa 3 lettre b et une activité lucrative exercée à plein temps (art. 27bis al. 4 aRAI). 3.3.2. Pour évaluer le taux d'invalidité des assurés travaillant dans le ménage, l'administration procède à une enquête sur les activités ménagères et fixe l'empêchement dans chacun des travaux habituels conformément aux chiffres 3084 ss CIIAI - pratique dont le Tribunal fédéral a admis la légalité (arrêt 9C_467/2007 du 19 mars 2008 consid. 3.3).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sauf s'il est évident qu'elle repose sur des erreurs manifestes (ATF 128 V 93 ; arrêt 9C_693/2007 du 2 juillet 2008 consid. 3). Il convient enfin de préciser que les empêchements de la personne assurée doivent être évalués en tenant compte de l'aide que l'on peut exiger des proches au titre de l'obligation de réduire le dommage (ATF 130 V 97 consid. 3.2 ; arrêt I 561/06 du 26 juillet 2007 consid. 5.2.1). 3.3.3. Dans certaines circonstances bien définies, il peut être tenu compte de la diminution de la capacité d'exercer une activité lucrative ou d'accomplir les travaux habituels en raison des efforts consentis dans l'autre domaine d'activité (ATF 134 V 9 ; voir également arrêt I 156/04 du 13 décembre 2005, consid. 6.2, publié in SVR 2006 IV n° 42 p. 151).</w:t>
      </w:r>
    </w:p>
    <w:p>
      <w:r>
        <w:t>- 18 -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(ATF 130 V 97 consid. 3.2 et les références ; arrêt 9C_713/2007 du 8 août 2008 consid. 4.2.2) :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w:t>
      </w:r>
    </w:p>
    <w:p>
      <w:r>
        <w:t>- 19 -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4. Dans le cas d’espèce, au vu du statut de la recourante (50% active et 50% ménagère), il convient d’appliquer la méthode mixte d’évaluation de l’invalidité. Depuis son arrivée en Suisse, la recourante a en effet toujours exercé une activité lucrative à temps partiel (jusqu’à un taux maximum de 50%) et a consacré le reste de son temps à la tenue du ménage. Lors de son inscription auprès de l’assurance-chômage, elle se déclarait également prête à travailler à un taux de 50%. Elle a en outre encore confirmé à l’OAI qu’en bonne santé elle rechercherait une activité professionnelle à 50% (cf. rapport d’assessment du 20 novembre 2019 ; pièce OAI 32). 4.1. Concernant la part consacrée à une activité lucrative (50%), l’OAI a appliqué à juste titre la méthode générale de comparaison des revenus pour définir le taux d’invalidité de la recourante (art. 27bis al. 3 aRAI et 16 LPGA), en arrêtant les revenus sans invalidité et avec invalidité sur la base des données statistiques. 4.1.1. Le revenu sans invalidité se monte cependant à 24 525 fr. 85 ([3921 fr. x 12] x [41.7/40] / 2), en tenant compte d’une durée hebdomadaire moyenne de 41.7 heures par semaine (et non 41.9 heures ; cf. statistiques OFS, Durée normale du travail dans les entreprises selon la division économique [Tous les secteurs]) pour une activité de service administratif et de soutien (n° 77 à 82 de l’ESS 2018). En extrapolant ce montant à un revenu qui serait obtenu pour une activité exercée à plein temps, on obtient un revenu sans invalidité de 49 051 fr. 70 (art. 27bis al. 3 let. a aRAI). 4.1.2. Pour déterminer le revenu avec invalidité, l’intimé a correctement pris en considération la valeur statistique médiane de 4371 fr. de la table TA1_tirage_skill_level pour le secteur privé de l’ESS 2018 pour arriver à 27 340 fr. 60 ([4371 fr. x 12] x [41.7/40]</w:t>
      </w:r>
    </w:p>
    <w:p>
      <w:r>
        <w:t>- 20 - / 2 ; RAMA 2001 n° U 439 p. 347). L’activité de femme de ménage n’étant plus adaptée, il ne se justifie en effet plus de se baser sur la valeur statistique médiane de la catégorie service administratif et soutien (n° 77 à 82), comme l’estime à tort la recourante. Sur ce revenu d’invalide, l’OAI n’a opéré aucune déduction. Selon la recourante, son âge, sa mauvaise maîtrise du français, son origine, son absence de formation et son éloignement du marché du travail depuis 2017 justifieraient une déduction de 25%. Il lui est cependant rappelé qu’une capacité résiduelle de travail de 50% lui a été reconnue dans une activité non qualifiée, à savoir du niveau de compétence 1 (tâches physiques ou manuelles simples). Or, pour de telles activités, le salaire statistique est suffisamment représentatif de ce qu'elle serait en mesure de réaliser en tant qu'invalide dès lors qu'il recouvre un large éventail d'activités variées et non qualifiées, ne requérant pas d'expérience professionnelle spécifique, ni de formation particulière, si ce n'est une phase initiale d'adaptation et d'apprentissage (arrêt 8C_175/2020 du 22 septembre 2020 consid. 4.2). En d'autres termes, il n'y a pas lieu de prendre en considération d'autres critères d'abattement que celui des limitations fonctionnelles dans les cas où des activités non qualifiées sont exigibles de l'assuré (arrêt 8C_478/2020 du 15 février 2021 consid. 4.2). S’agissant de l’âge, la jurisprudence n’a pas fixé de seuil à partir duquel il justifierait un abattement sur le revenu d’invalide (arrêt 9C_497/2020 du 25 juin 2021 consid. 5.2.2), étant précisé que le travail non qualifié est demandé sur le marché du travail équilibré indépendamment de ce critère (arrêts 9C_200/2017 du 14 novembre 2017 consid. 4.5 ; 8C_403/2017 du 25 août 2017 consid. 4.4.1 ; 8C_805/2016 du 22 mars 2017 consid. 3.4.3 ; 9C_134/2016 du 12 avril 2016 consid. 5.3). Cela étant, dans la mesure où la recourante est sujette à de nombreuses limitations fonctionnelles, il est vraisemblable que celles-ci, associées à son âge (56 ans en été 2018), puissent avoir une influence sur ses perspectives salariales et entraînent pour elle un désavantage non négligeable par rapport à des travailleurs en pleine santé. En effet, en présence d’un assuré de plus de 50 ans, la jurisprudence insiste sur l'effet de l'âge combiné avec un handicap, qui doit faire l'objet d'un examen dans le cas concret (arrêt 8C_766/2017 du 30 juillet 2018 consid. 8.6 et la référence). Tout bien considéré, l’interdépendance de ces facteurs personnels et professionnels justifient une réduction maximum de 10% sur le revenu d’invalide. Concernant la prise en compte des efforts consentis dans l’autre domaine d’activité (ATF 134 V 9), l’on relève qu’aucun rapport médical n’atteste une quelconque fatigue qui serait causée par la tenue du ménage. Les experts ont au contraire arrêté leurs conclusions après s’être expressément prononcés sur les empêchements liés aux travaux ménagers</w:t>
      </w:r>
    </w:p>
    <w:p>
      <w:r>
        <w:t>- 21 - (cf. pp. 27 et 49 de l’expertise bidisciplinaire ; pièce OAI 51) et n’ont fait état d’aucune fatigue. Du reste, la recourante n’ayant pas repris concrètement une activité lucrative après la survenance de son atteinte à la santé, il est impossible de prendre en compte les efforts qu’elle consentirait dans l’exercice d’une telle activité et d’examiner leur effet sur sa capacité à tenir son ménage. En outre, l’on ajoutera que ses enfants sont majeurs et son mari autonome, de sorte qu’elle ne doit pas consacrer une partie de son temps à des tâches d’assistance familiale, et que la recourante reçoit une aide de sa famille dans la plupart des tâches ménagères. Il n’y a dès lors pas lieu de procéder à un abattement supplémentaire au titre d’efforts réciproques. 4.1.3. Dans ces conditions, avec un abattement de 10%, le revenu d’invalide de la recourante s’élève à 24 606 fr. 55. Par comparaison des revenus, il ressort un taux d’invalidité de 49.83% (perte de gain de 24 445 fr. 15 ; [24 445 fr. 15 x 100] / 49051 fr. 70). Après pondération de cette perte de gain avec le taux d’occupation qu’aurait l’assurée si elle n’était pas invalide (soit 50%), le taux d’invalidité final en lien avec l’activité lucrative s’élève à 24.915% (art. 27bis al. 3 let. b aRAI). 4.2. La recourante conteste également le taux d’incapacité ménagère de 5.30% retenu par l’OAI, en remettant en cause la valeur probante du rapport d’enquête ménagère du</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Tribunal fédéral n'exclut cependant pas que l'assurance-invalidité statue exclusivement sur la base des pièces médicales versées au dossier (appréciation anticipée des moyens de preuves : ATF 122 V 157 consid. 1d et arrêt U 365/06 du 26 janvier 2007 consid. 4.1 avec références).</w:t>
      </w:r>
    </w:p>
    <w:p>
      <w:r>
        <w:rPr>
          <w:b/>
        </w:rPr>
        <w:t>E. 9</w:t>
      </w:r>
    </w:p>
    <w:p>
      <w:r>
        <w:t>septembre 2020. A son avis, elle présentait un taux d’empêchement de 100% qui devait être réduit à 80% compte tenu de l’aide de ses proches. A la lecture du rapport d’enquête du 9 septembre 2020, l’on note cependant que l’enquêteur a exposé d’une manière détaillée les diagnostics médicaux, les plaintes de la recourante (douleurs sur tout le côté droit), ainsi que les empêchements rencontrés et l’aide reçue par les membres de sa famille. Lors de sa visite au domicile de l’intéressée, il a ensuite déterminé l’incapacité rencontrée par la recourante dans les différentes tâches, compte tenu de l’aide exigible de ses proches, et sur la base de ses propres déclarations. Cela étant, cette évaluation a été faite au domicile de la recourante par une personne qualifiée possédant une pleine connaissance de la situation locale, spatiale et médicale. Il n’existe dès lors aucune raison de remettre en cause l’appréciation effectuée par l’enquêteur de l’OAI. La recourante se prévaut des expertises des 3 et 15 décembre 2020 dans lesquelles les experts auraient retenu qu’elle était incapable d’exercer la moindre tâche ménagère sans aide (cf. pp. 27, 28 et 49 de l’expertise bidisciplinaire ; pièce OAI 51). Le Dr D _________ a cependant conclu à une pleine capacité de travail dans une activité adaptée comprenant des limitations fonctionnelles incompatibles seulement avec les grands</w:t>
      </w:r>
    </w:p>
    <w:p>
      <w:r>
        <w:t>- 22 - travaux de nettoyages. L’on ne saurait dès lors déduire de ses réponses qu’il considérerait la recourante comme incapable d’exercer la moindre tâche ménagère. Cela ne ressort en outre pas de ses réponses quant aux empêchements ménagers et il apparaît qu’il a établi celles-ci uniquement sur la base des déclarations de la recourante (cf. pp. 27 et 28 de l’expertise). En effet, si le Dr D _________ pensait véritablement que la recourante devait rester allongée la majeure partie de la journée et qu’elle était incapable de sortir seule, il n’aurait à l’évidence pas retenu une pleine capacité de travail de sa part dans une activité adaptée. Du reste, l’enquête ménagère a précisément pris en compte une incapacité dans l’exécution des tâches ménagères ne respectant pas les limitations fonctionnelles (en particulier pour les grands nettoyages et le nettoyage à fond). Quant au Dr C _________ (cf. p. 49 de l’expertise), l’on note que ses réponses sont particulièrement laconiques, mais qu’elles sont essentiellement comparables aux constats de l’enquêteur de l’OAI, soit que seuls les grands travaux, incompatibles avec les limitations fonctionnelles, requièrent une aide extérieure des membres de la famille. S’agissant plus particulièrement du poste « emplettes », s’il ressort des expertises que la recourante n’y participerait pas, cette dernière a cependant confié à l’enquêteur de l’OAI qu’elle accompagnait son mari et ses enfants, qu’elle était capable de pousser le chariot à roulettes et qu’elle était en mesure de faire les petites courses. En lien avec le poste « lessive et entretien des vêtements », elle a déclaré qu’elle était capable de s’occuper de la lessive à son rythme (cf. pièce OAI 42), ce qui ne ressort néanmoins pas des expertises. Malgré ces différences, le contenu du rapport d’enquête demeure plausible et ne peut être qualifié d’insoutenable, étant rappelé qu’il doit correspondre aux indications relevées lors de la visite domiciliaire et qu’il doit consigner les éventuelles opinions divergentes des participants et que l’enquêteur de l’OAI était concrètement sur place et donc mieux à même de se rendre compte des possibilités et des empêchements de l’intéressée (ATF 128 V 93). Au demeurant, compte tenu de l’aide pouvant être exigée des proches (les expertises précisant que ces tâches étaient effectuées par les enfants et le mari de la recourante), retenir un empêchement dans ces postes ne provoquerait aucune modification du taux d’invalidité final. Il peut en effet être attendu une contribution à l’exécution des tâches ménagères de la part de son mari, lequel n’exerce aucune activité lucrative et ne bénéfice d’aucun motif pour le refuser, conformément à l’obligation de réduire le dommage. Par conséquent, on doit admettre que l’enquête ménagère réalisée le 9 septembre 2020 a entière valeur probante et que l’incapacité ménagère de 10.60% qui y est constatée</w:t>
      </w:r>
    </w:p>
    <w:p>
      <w:r>
        <w:t>- 23 - est correcte. L’intimé a ainsi retenu à juste titre un taux d’invalidité de 5.30% (après pondération) pour la part non active. Après addition des taux d’invalidités en lien avec l’activité lucrative et en lien avec les travaux habituels, le taux d’invalidité total se monte à 30.22% (= 24.915% + 5.30%), ce qui est insuffisant pour ouvrir un droit à une rente d’invalidité. Le recours doit ainsi être rejeté sur ce point et la décision querellée confirmée. 4.3. Dans un dernier grief, la recourante estime que l’OAI aurait dû la mettre au bénéfice de mesures d’ordre professionnel, notamment en raison de son faible niveau de français. On constate cependant que l’intéressée n’a pas démontré la motivation nécessaire afin de se réinsérer dans une profession adaptée à ses limitations lorsque cela lui a été proposé (cf. rapport d’assessment du 20 novembre 2019 et compte rendu de l’orientation professionnelle du 9 juin 2021 ; pièces OAI 32 et 66) et à présent au vu de son souhait d’être mise au bénéfice d’une rente d’invalidité complète. Or, afin qu’une mesure soit efficace en termes de réintégration, la personne assurée doit disposer d’une capacité de réadaptation et avoir la volonté de se réadapter, respectivement avoir la capacité subjective de le faire (ATF 145 V 2 consid. 4.3.3 et les références citées ; arrêt 9C_407/2021 du 17 mai 2022 consid. 6.3.1), ce qui n’est pas le cas en l’espèce. En outre, 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de la recourante qu’elle doit pouvoir exercer sans avoir besoin d'une mesure de reclassement (arrêt 9C_457/2013 du 26 décembre 2013 consid. 11). Son faible niveau de français n’aura également que peu de conséquence dans une telle activité, comme la recourante l’admet d’ailleurs elle-même dans son mémoire de recours. Il est dès lors peu compréhensible et contradictoire de sa part d’invoquer ses difficultés de langue afin d’obtenir une mesure de reclassement. Au demeurant, c’est à tort que la recourante cite d’une manière confuse la jurisprudence admettant qu’une auto-réadaptation ne serait pas exigible en raison de son âge (par ex. arrêt 9C_283/2016 du 5 décembre 2016 consid. 6.2 et les références). Cette jurisprudence n’est en effet applicable que lors d’une révision (art. 17 LPGA) ou d’une reconsidération (art. 53 al. 2 LPGA) du droit à une rente, ce qui n’est pas le cas en l’espèce, l’intéressée n’ayant jamais pu prétendre à une rente d’invalidité.</w:t>
      </w:r>
    </w:p>
    <w:p>
      <w:r>
        <w:t>- 24 - Dans ces circonstances, il convient également de rejeter le recours sur le grief des mesures d’ordre professionnel et de confirmer la décision entreprise. 5. Par décision présidentielle du 27 octobre 2021, X _________ a été mise au bénéfice de l’assistance judiciaire totale (S3 21 80). 5.1. Conformément à l’article 8 alinéa 1 lettre b LAJ (loi du 11 février 2009 sur l’assistance judiciaire ; RS/VS 177.7), lorsque l’assisté succombe, les frais de procédure sont à la charge de la collectivité. Les frais de justice, par 800 francs, au regard des principes de la couverture des coûts et de l’équivalence, sont ainsi mis à la charge de la recourante mais sont provisoirement supportés par l’Etat du Valais au titre de l’assistance judiciaire (art. 8 al. 1 let. b LAJ). A cet égard, la recourante est rendue attentive au fait qu’elle devra rembourser l’Etat du Valais si elle devient ultérieurement en mesure de le faire (art. 10 LAJ et RVJ 2000 p. 152). 5.2.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 règle de base un tarif horaire de l’ordre de 180 fr. s’agissant des honoraires d’un avocat commis d’office (ATF 137 III 185 et 132 I 201, arrêt 9C_411/2016 du 21 novembre 2016 consid. 4.2 ; art. 30 al. 1 LTar). Selon l’article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le mandataire de la recourante a produit un recours de trente pages et une réplique de trois pages, le tout accompagné d’une vingtaine de copies (au tarif de 50 centimes la copie ; ATF 118 Ib 349 consid. 5 ; RVJ 2002 p. 316 consid. 2b). Au vu des critères précités, de la teneur des pièces de procédures déposées par la recourante, de l’activité de travail utile déployée par son avocat, de l’ampleur du dossier et du tarif</w:t>
      </w:r>
    </w:p>
    <w:p>
      <w:r>
        <w:t>- 25 - applicable en assistance judiciaire, la Cour fixe les honoraires de Me del Rizzo à un montant arrondi de 1200 francs, débours et TVA compris. Ce montant sera supporté provisoirement par la caisse l’Etat du Valais, mais la recourante est toutefois rendue attentive au fait qu'elle devra rembourser cette caisse si elle devient ultérieurement en mesure de le faire (art. 17 OAJ ; RVJ 2000 152).</w:t>
      </w:r>
    </w:p>
    <w:p>
      <w:r>
        <w:t>Prononce</w:t>
      </w:r>
    </w:p>
    <w:p>
      <w:r>
        <w:t>1. Le recours est rejeté. 2. Les frais, par 800 francs, sont mis à la charge de X _________ mais sont provisoirement supportés par l’État du Valais au titre de l'assistance judiciaire. 3. Un montant de 1200 francs sera versé à Me Luc del Rizzo par l’Etat du Valais dans le cadre de l’assistance judiciaire.</w:t>
      </w:r>
    </w:p>
    <w:p>
      <w:r>
        <w:t>Sion, le 17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